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B5D10" w14:textId="77777777" w:rsidR="00554E4A" w:rsidRDefault="00554E4A"/>
    <w:tbl>
      <w:tblPr>
        <w:tblStyle w:val="Grilledutableau"/>
        <w:tblW w:w="0" w:type="auto"/>
        <w:tblLook w:val="04A0" w:firstRow="1" w:lastRow="0" w:firstColumn="1" w:lastColumn="0" w:noHBand="0" w:noVBand="1"/>
      </w:tblPr>
      <w:tblGrid>
        <w:gridCol w:w="1802"/>
        <w:gridCol w:w="8392"/>
      </w:tblGrid>
      <w:tr w:rsidR="006E464D" w14:paraId="4F3C1C88" w14:textId="77777777" w:rsidTr="00881594">
        <w:tc>
          <w:tcPr>
            <w:tcW w:w="10344" w:type="dxa"/>
            <w:gridSpan w:val="2"/>
          </w:tcPr>
          <w:p w14:paraId="3F46971E" w14:textId="77777777" w:rsidR="006E464D" w:rsidRDefault="000D7223" w:rsidP="00F747ED">
            <w:pPr>
              <w:spacing w:before="60" w:after="60"/>
              <w:jc w:val="center"/>
              <w:rPr>
                <w:b/>
                <w:color w:val="00B0F0"/>
                <w:sz w:val="28"/>
                <w:szCs w:val="28"/>
                <w:u w:val="single"/>
              </w:rPr>
            </w:pPr>
            <w:r>
              <w:rPr>
                <w:b/>
                <w:color w:val="00B0F0"/>
                <w:sz w:val="28"/>
                <w:szCs w:val="28"/>
                <w:u w:val="single"/>
              </w:rPr>
              <w:t>ANGLAIS ORAL CONSULTATION</w:t>
            </w:r>
          </w:p>
          <w:p w14:paraId="494DF851" w14:textId="72263094" w:rsidR="009C7739" w:rsidRPr="00522C34" w:rsidRDefault="009C7739" w:rsidP="00F747ED">
            <w:pPr>
              <w:spacing w:before="60" w:after="60"/>
              <w:jc w:val="center"/>
              <w:rPr>
                <w:b/>
                <w:sz w:val="28"/>
                <w:szCs w:val="28"/>
                <w:u w:val="single"/>
              </w:rPr>
            </w:pPr>
            <w:r w:rsidRPr="009C7739">
              <w:rPr>
                <w:b/>
                <w:sz w:val="28"/>
                <w:szCs w:val="28"/>
                <w:u w:val="single"/>
              </w:rPr>
              <w:t>Module destiné aux étudiants de PCEM2, PCEM3, PH2, PH3</w:t>
            </w:r>
          </w:p>
        </w:tc>
      </w:tr>
      <w:tr w:rsidR="006E464D" w14:paraId="49ED2999" w14:textId="77777777" w:rsidTr="00BC052F">
        <w:tc>
          <w:tcPr>
            <w:tcW w:w="1809" w:type="dxa"/>
          </w:tcPr>
          <w:p w14:paraId="501F76D4" w14:textId="77777777" w:rsidR="006E464D" w:rsidRPr="00BC052F" w:rsidRDefault="006E464D" w:rsidP="00BC052F">
            <w:pPr>
              <w:spacing w:before="60" w:after="60"/>
              <w:rPr>
                <w:b/>
                <w:color w:val="00B0F0"/>
              </w:rPr>
            </w:pPr>
            <w:r w:rsidRPr="00BC052F">
              <w:rPr>
                <w:b/>
                <w:color w:val="00B0F0"/>
              </w:rPr>
              <w:t>Responsable</w:t>
            </w:r>
          </w:p>
        </w:tc>
        <w:tc>
          <w:tcPr>
            <w:tcW w:w="8535" w:type="dxa"/>
          </w:tcPr>
          <w:p w14:paraId="621E92A8" w14:textId="5CF8229E" w:rsidR="006E464D" w:rsidRPr="00C02600" w:rsidRDefault="000D7223" w:rsidP="00BC052F">
            <w:pPr>
              <w:spacing w:before="60" w:after="60"/>
              <w:rPr>
                <w:b/>
              </w:rPr>
            </w:pPr>
            <w:r>
              <w:rPr>
                <w:b/>
              </w:rPr>
              <w:t>Anaïs CARNET (</w:t>
            </w:r>
            <w:hyperlink r:id="rId5" w:history="1">
              <w:r w:rsidRPr="00AF5EDC">
                <w:rPr>
                  <w:rStyle w:val="Lienhypertexte"/>
                  <w:b/>
                </w:rPr>
                <w:t>anais.carnet@u-bourgogne.fr</w:t>
              </w:r>
            </w:hyperlink>
            <w:r>
              <w:rPr>
                <w:b/>
              </w:rPr>
              <w:t xml:space="preserve">) </w:t>
            </w:r>
          </w:p>
        </w:tc>
      </w:tr>
      <w:tr w:rsidR="006E464D" w14:paraId="21A536A4" w14:textId="77777777" w:rsidTr="00BC052F">
        <w:tc>
          <w:tcPr>
            <w:tcW w:w="1809" w:type="dxa"/>
          </w:tcPr>
          <w:p w14:paraId="2A61A202" w14:textId="77777777" w:rsidR="006E464D" w:rsidRPr="00BC052F" w:rsidRDefault="006E464D" w:rsidP="00BC052F">
            <w:pPr>
              <w:spacing w:before="60" w:after="60"/>
              <w:rPr>
                <w:b/>
                <w:color w:val="00B0F0"/>
              </w:rPr>
            </w:pPr>
            <w:r w:rsidRPr="00BC052F">
              <w:rPr>
                <w:b/>
                <w:color w:val="00B0F0"/>
              </w:rPr>
              <w:t>Objectifs</w:t>
            </w:r>
          </w:p>
        </w:tc>
        <w:tc>
          <w:tcPr>
            <w:tcW w:w="8535" w:type="dxa"/>
          </w:tcPr>
          <w:p w14:paraId="3BE92106" w14:textId="148DAD67" w:rsidR="008A1663" w:rsidRDefault="000D7223" w:rsidP="00BC052F">
            <w:pPr>
              <w:spacing w:before="60" w:after="60"/>
              <w:jc w:val="both"/>
            </w:pPr>
            <w:r>
              <w:t>Apprendre à mener une consultation médicale en anglais. Le travail est axé sur la compréhension et la participation orale, ainsi que sur l’interaction et s’appuie sur des documents variés (documents hospitaliers anglophones, extraits de séries télévisées…).</w:t>
            </w:r>
          </w:p>
          <w:p w14:paraId="5B5E6DAC" w14:textId="548C42E6" w:rsidR="00977091" w:rsidRDefault="00977091" w:rsidP="00BC052F">
            <w:pPr>
              <w:spacing w:before="60" w:after="60"/>
              <w:jc w:val="both"/>
            </w:pPr>
          </w:p>
          <w:p w14:paraId="50A25652" w14:textId="77777777" w:rsidR="00977091" w:rsidRPr="00977091" w:rsidRDefault="00977091" w:rsidP="00BC052F">
            <w:pPr>
              <w:spacing w:before="60" w:after="60"/>
              <w:jc w:val="both"/>
            </w:pPr>
            <w:r w:rsidRPr="00977091">
              <w:t xml:space="preserve">UE destinée aux étudiants intéressés </w:t>
            </w:r>
            <w:r w:rsidR="00382972">
              <w:t xml:space="preserve">par </w:t>
            </w:r>
            <w:r w:rsidRPr="00977091">
              <w:t xml:space="preserve">: </w:t>
            </w:r>
          </w:p>
          <w:p w14:paraId="2E62CC17" w14:textId="705532C4" w:rsidR="00A67F11" w:rsidRDefault="000D7223" w:rsidP="00A06098">
            <w:pPr>
              <w:pStyle w:val="Paragraphedeliste"/>
              <w:spacing w:before="60" w:after="60"/>
              <w:ind w:left="459"/>
              <w:jc w:val="both"/>
            </w:pPr>
            <w:r>
              <w:t>- la pratique orale de l’anglais ;</w:t>
            </w:r>
          </w:p>
          <w:p w14:paraId="47E7274E" w14:textId="5DD55371" w:rsidR="000D7223" w:rsidRDefault="000D7223" w:rsidP="00A06098">
            <w:pPr>
              <w:pStyle w:val="Paragraphedeliste"/>
              <w:spacing w:before="60" w:after="60"/>
              <w:ind w:left="459"/>
              <w:jc w:val="both"/>
            </w:pPr>
            <w:r>
              <w:t>- l’approfondissement des notions vues en enseignement d’anglais ;</w:t>
            </w:r>
          </w:p>
          <w:p w14:paraId="7A75C173" w14:textId="7D697677" w:rsidR="000D7223" w:rsidRDefault="000D7223" w:rsidP="00A06098">
            <w:pPr>
              <w:pStyle w:val="Paragraphedeliste"/>
              <w:spacing w:before="60" w:after="60"/>
              <w:ind w:left="459"/>
              <w:jc w:val="both"/>
            </w:pPr>
            <w:r>
              <w:t>- l’acquisition du lexique médical spécialisé et non spécialisé ;</w:t>
            </w:r>
          </w:p>
          <w:p w14:paraId="0A83A54F" w14:textId="77777777" w:rsidR="000D7223" w:rsidRDefault="000D7223" w:rsidP="00A06098">
            <w:pPr>
              <w:pStyle w:val="Paragraphedeliste"/>
              <w:spacing w:before="60" w:after="60"/>
              <w:ind w:left="459"/>
              <w:jc w:val="both"/>
            </w:pPr>
            <w:r>
              <w:t>- la communication médecin/patient.</w:t>
            </w:r>
          </w:p>
          <w:p w14:paraId="5ADB1443" w14:textId="64A4349F" w:rsidR="000D7223" w:rsidRDefault="000D7223" w:rsidP="00A06098">
            <w:pPr>
              <w:pStyle w:val="Paragraphedeliste"/>
              <w:spacing w:before="60" w:after="60"/>
              <w:ind w:left="459"/>
              <w:jc w:val="both"/>
            </w:pPr>
          </w:p>
        </w:tc>
      </w:tr>
      <w:tr w:rsidR="006E464D" w14:paraId="7824329F" w14:textId="77777777" w:rsidTr="00BC052F">
        <w:tc>
          <w:tcPr>
            <w:tcW w:w="1809" w:type="dxa"/>
          </w:tcPr>
          <w:p w14:paraId="5A2E056C" w14:textId="2235A002" w:rsidR="006E464D" w:rsidRPr="00BC052F" w:rsidRDefault="006E464D" w:rsidP="00BC052F">
            <w:pPr>
              <w:spacing w:before="60" w:after="60"/>
              <w:rPr>
                <w:b/>
                <w:color w:val="00B0F0"/>
              </w:rPr>
            </w:pPr>
            <w:r w:rsidRPr="00BC052F">
              <w:rPr>
                <w:b/>
                <w:color w:val="00B0F0"/>
              </w:rPr>
              <w:t>Programme</w:t>
            </w:r>
          </w:p>
        </w:tc>
        <w:tc>
          <w:tcPr>
            <w:tcW w:w="8535" w:type="dxa"/>
          </w:tcPr>
          <w:p w14:paraId="0C2E807A" w14:textId="77777777" w:rsidR="0061388D" w:rsidRDefault="000D7223" w:rsidP="000D7223">
            <w:pPr>
              <w:pStyle w:val="Paragraphedeliste"/>
              <w:spacing w:before="60" w:after="60"/>
              <w:ind w:left="459" w:hanging="459"/>
              <w:jc w:val="both"/>
            </w:pPr>
            <w:r>
              <w:t>Chaque TD se concentre sur une partie de la consultation : prise d’antécédents, anamnèse, examen clinique, diagnostic différentiel, examens complémentaires, annonce du diagnostic, prescription…</w:t>
            </w:r>
          </w:p>
          <w:p w14:paraId="0DFC07B1" w14:textId="691C198D" w:rsidR="00D01BD6" w:rsidRDefault="009E1501" w:rsidP="009E1501">
            <w:pPr>
              <w:pStyle w:val="Paragraphedeliste"/>
              <w:spacing w:before="60" w:after="60"/>
              <w:ind w:left="459" w:hanging="459"/>
              <w:jc w:val="both"/>
            </w:pPr>
            <w:r>
              <w:t>Les objectifs ciblent l’apprentissage du lexique de la consultation, et la capacité à communiquer dans ce contexte. Les étudiants seront capables, à l’issue de la période d’enseignement, de mener une consultation en anglais.</w:t>
            </w:r>
          </w:p>
          <w:p w14:paraId="5F206088" w14:textId="3811627C" w:rsidR="009E1501" w:rsidRDefault="009E1501" w:rsidP="009E1501">
            <w:pPr>
              <w:pStyle w:val="Paragraphedeliste"/>
              <w:spacing w:before="60" w:after="60"/>
              <w:ind w:left="459" w:hanging="459"/>
              <w:jc w:val="both"/>
            </w:pPr>
          </w:p>
        </w:tc>
      </w:tr>
      <w:tr w:rsidR="006E464D" w14:paraId="1BB62066" w14:textId="77777777" w:rsidTr="00BC052F">
        <w:tc>
          <w:tcPr>
            <w:tcW w:w="1809" w:type="dxa"/>
          </w:tcPr>
          <w:p w14:paraId="1FB6E936" w14:textId="3F8C7CAD" w:rsidR="006E464D" w:rsidRPr="00BC052F" w:rsidRDefault="006E464D" w:rsidP="00BC052F">
            <w:pPr>
              <w:spacing w:before="60" w:after="60"/>
              <w:rPr>
                <w:b/>
                <w:color w:val="00B0F0"/>
              </w:rPr>
            </w:pPr>
            <w:r w:rsidRPr="00BC052F">
              <w:rPr>
                <w:b/>
                <w:color w:val="00B0F0"/>
              </w:rPr>
              <w:t>Enseignement</w:t>
            </w:r>
          </w:p>
        </w:tc>
        <w:tc>
          <w:tcPr>
            <w:tcW w:w="8535" w:type="dxa"/>
          </w:tcPr>
          <w:p w14:paraId="022048FE" w14:textId="0D7A24FC" w:rsidR="001A3025" w:rsidRDefault="000D7223" w:rsidP="00BC052F">
            <w:pPr>
              <w:spacing w:before="60"/>
            </w:pPr>
            <w:r>
              <w:rPr>
                <w:b/>
              </w:rPr>
              <w:t>T</w:t>
            </w:r>
            <w:r w:rsidR="001A3025" w:rsidRPr="008C6E66">
              <w:rPr>
                <w:b/>
              </w:rPr>
              <w:t>D</w:t>
            </w:r>
            <w:r>
              <w:t> : 24</w:t>
            </w:r>
            <w:r w:rsidR="001A3025">
              <w:t xml:space="preserve"> h</w:t>
            </w:r>
            <w:r w:rsidR="009E1501">
              <w:t>, 2h par semaine le j</w:t>
            </w:r>
            <w:r w:rsidR="00814A76">
              <w:t>eudi après-midi, en groupe de 18</w:t>
            </w:r>
            <w:r w:rsidR="009E1501">
              <w:t xml:space="preserve"> étudiants. </w:t>
            </w:r>
          </w:p>
          <w:p w14:paraId="61D79D8B" w14:textId="093853AE" w:rsidR="006E464D" w:rsidRDefault="006E464D" w:rsidP="00BC052F">
            <w:pPr>
              <w:spacing w:before="60" w:after="60"/>
            </w:pPr>
            <w:r w:rsidRPr="008C6E66">
              <w:rPr>
                <w:b/>
              </w:rPr>
              <w:t xml:space="preserve">Contrôle </w:t>
            </w:r>
            <w:r w:rsidR="000D7223">
              <w:rPr>
                <w:b/>
              </w:rPr>
              <w:t>terminal</w:t>
            </w:r>
            <w:r w:rsidRPr="008C6E66">
              <w:rPr>
                <w:b/>
              </w:rPr>
              <w:t> </w:t>
            </w:r>
            <w:r>
              <w:t xml:space="preserve">: </w:t>
            </w:r>
            <w:r w:rsidR="000D7223">
              <w:t>examen oral de 10 minutes sous forme d’une consultation médicale</w:t>
            </w:r>
            <w:r w:rsidR="00F52C0A">
              <w:t>.</w:t>
            </w:r>
            <w:r w:rsidR="00C675A4">
              <w:t xml:space="preserve"> </w:t>
            </w:r>
          </w:p>
          <w:p w14:paraId="762C5632" w14:textId="77777777" w:rsidR="006E464D" w:rsidRDefault="000D7223" w:rsidP="00D35AD8">
            <w:pPr>
              <w:spacing w:before="60" w:after="60"/>
            </w:pPr>
            <w:r w:rsidRPr="000D7223">
              <w:rPr>
                <w:b/>
              </w:rPr>
              <w:t>Contrôle continu</w:t>
            </w:r>
            <w:r>
              <w:t> : une présentation orale à faire en cours pendant le semestre.</w:t>
            </w:r>
          </w:p>
          <w:p w14:paraId="27C3C054" w14:textId="6F038C5A" w:rsidR="00D01BD6" w:rsidRDefault="00D01BD6" w:rsidP="00D35AD8">
            <w:pPr>
              <w:spacing w:before="60" w:after="60"/>
            </w:pPr>
          </w:p>
        </w:tc>
      </w:tr>
      <w:tr w:rsidR="006E464D" w14:paraId="4F9272DA" w14:textId="77777777" w:rsidTr="00BC052F">
        <w:tc>
          <w:tcPr>
            <w:tcW w:w="1809" w:type="dxa"/>
          </w:tcPr>
          <w:p w14:paraId="3505A047" w14:textId="77777777" w:rsidR="006E464D" w:rsidRPr="00BC052F" w:rsidRDefault="006E464D" w:rsidP="00BC052F">
            <w:pPr>
              <w:spacing w:before="60" w:after="60"/>
              <w:rPr>
                <w:b/>
                <w:color w:val="00B0F0"/>
              </w:rPr>
            </w:pPr>
            <w:r w:rsidRPr="00BC052F">
              <w:rPr>
                <w:b/>
                <w:color w:val="00B0F0"/>
              </w:rPr>
              <w:t>Intervenants</w:t>
            </w:r>
          </w:p>
        </w:tc>
        <w:tc>
          <w:tcPr>
            <w:tcW w:w="8535" w:type="dxa"/>
          </w:tcPr>
          <w:p w14:paraId="353741C1" w14:textId="026F0916" w:rsidR="000D7223" w:rsidRDefault="00F52C0A" w:rsidP="000D7223">
            <w:pPr>
              <w:pStyle w:val="Paragraphedeliste"/>
              <w:tabs>
                <w:tab w:val="left" w:pos="317"/>
              </w:tabs>
              <w:spacing w:before="60" w:after="60"/>
              <w:ind w:left="0"/>
            </w:pPr>
            <w:r>
              <w:t xml:space="preserve">- </w:t>
            </w:r>
            <w:r w:rsidR="000D7223">
              <w:t>Anaïs CARNET, enseignante d’anglais</w:t>
            </w:r>
          </w:p>
          <w:p w14:paraId="71CD6F51" w14:textId="6B78DEEE" w:rsidR="000D7223" w:rsidRDefault="000D7223" w:rsidP="000D7223">
            <w:pPr>
              <w:pStyle w:val="Paragraphedeliste"/>
              <w:tabs>
                <w:tab w:val="left" w:pos="317"/>
              </w:tabs>
              <w:spacing w:before="60" w:after="60"/>
              <w:ind w:left="0"/>
            </w:pPr>
            <w:r>
              <w:t>- Marceline EVRARD, enseignante d’anglais</w:t>
            </w:r>
          </w:p>
          <w:p w14:paraId="2811D7D9" w14:textId="73A4BB7B" w:rsidR="00693DFD" w:rsidRDefault="00693DFD" w:rsidP="00F52C0A">
            <w:pPr>
              <w:pStyle w:val="Paragraphedeliste"/>
              <w:tabs>
                <w:tab w:val="left" w:pos="317"/>
              </w:tabs>
              <w:spacing w:before="60" w:after="60"/>
              <w:ind w:left="0"/>
            </w:pPr>
          </w:p>
        </w:tc>
      </w:tr>
    </w:tbl>
    <w:p w14:paraId="404CF8ED" w14:textId="6E72105F" w:rsidR="006E464D" w:rsidRDefault="006E464D"/>
    <w:sectPr w:rsidR="006E464D" w:rsidSect="001F7CF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D49C2"/>
    <w:multiLevelType w:val="hybridMultilevel"/>
    <w:tmpl w:val="B90817A4"/>
    <w:lvl w:ilvl="0" w:tplc="828CD9A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3551A8"/>
    <w:multiLevelType w:val="hybridMultilevel"/>
    <w:tmpl w:val="F888FB3A"/>
    <w:lvl w:ilvl="0" w:tplc="E17CE9E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CB7501"/>
    <w:multiLevelType w:val="hybridMultilevel"/>
    <w:tmpl w:val="2D602F06"/>
    <w:lvl w:ilvl="0" w:tplc="D23CF17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64D"/>
    <w:rsid w:val="000369AB"/>
    <w:rsid w:val="000804EA"/>
    <w:rsid w:val="000C7699"/>
    <w:rsid w:val="000D7223"/>
    <w:rsid w:val="0016111A"/>
    <w:rsid w:val="00196103"/>
    <w:rsid w:val="001A3025"/>
    <w:rsid w:val="001F7CFE"/>
    <w:rsid w:val="00247841"/>
    <w:rsid w:val="002549DC"/>
    <w:rsid w:val="00336C2F"/>
    <w:rsid w:val="00350933"/>
    <w:rsid w:val="003548B1"/>
    <w:rsid w:val="0036354E"/>
    <w:rsid w:val="00371132"/>
    <w:rsid w:val="00382972"/>
    <w:rsid w:val="003845F1"/>
    <w:rsid w:val="003A1C13"/>
    <w:rsid w:val="003A6877"/>
    <w:rsid w:val="003F2214"/>
    <w:rsid w:val="004064D2"/>
    <w:rsid w:val="004233DF"/>
    <w:rsid w:val="00425BD1"/>
    <w:rsid w:val="00456159"/>
    <w:rsid w:val="004B3789"/>
    <w:rsid w:val="004E0596"/>
    <w:rsid w:val="004E7D31"/>
    <w:rsid w:val="00522C34"/>
    <w:rsid w:val="00554E4A"/>
    <w:rsid w:val="005E05A4"/>
    <w:rsid w:val="005E5E7C"/>
    <w:rsid w:val="0061388D"/>
    <w:rsid w:val="00633717"/>
    <w:rsid w:val="00674D67"/>
    <w:rsid w:val="006903E4"/>
    <w:rsid w:val="00693DFD"/>
    <w:rsid w:val="006E464D"/>
    <w:rsid w:val="006F76F4"/>
    <w:rsid w:val="0070555D"/>
    <w:rsid w:val="00753B13"/>
    <w:rsid w:val="007E1A93"/>
    <w:rsid w:val="00814A76"/>
    <w:rsid w:val="00833C92"/>
    <w:rsid w:val="00875A07"/>
    <w:rsid w:val="00881594"/>
    <w:rsid w:val="008A1663"/>
    <w:rsid w:val="008C44BA"/>
    <w:rsid w:val="008C6E66"/>
    <w:rsid w:val="00927891"/>
    <w:rsid w:val="009351F5"/>
    <w:rsid w:val="00941F9C"/>
    <w:rsid w:val="00977091"/>
    <w:rsid w:val="0099602F"/>
    <w:rsid w:val="009C7739"/>
    <w:rsid w:val="009E1501"/>
    <w:rsid w:val="009F6811"/>
    <w:rsid w:val="00A06098"/>
    <w:rsid w:val="00A42267"/>
    <w:rsid w:val="00A60C35"/>
    <w:rsid w:val="00A67F11"/>
    <w:rsid w:val="00AA0CD8"/>
    <w:rsid w:val="00AB2DDA"/>
    <w:rsid w:val="00AB5138"/>
    <w:rsid w:val="00B14902"/>
    <w:rsid w:val="00B24FD4"/>
    <w:rsid w:val="00B62981"/>
    <w:rsid w:val="00B94974"/>
    <w:rsid w:val="00BA474E"/>
    <w:rsid w:val="00BB1582"/>
    <w:rsid w:val="00BB4DE8"/>
    <w:rsid w:val="00BC052F"/>
    <w:rsid w:val="00C02600"/>
    <w:rsid w:val="00C24299"/>
    <w:rsid w:val="00C675A4"/>
    <w:rsid w:val="00C746E2"/>
    <w:rsid w:val="00CA5BD4"/>
    <w:rsid w:val="00CC0F4D"/>
    <w:rsid w:val="00CE43C6"/>
    <w:rsid w:val="00CF5A94"/>
    <w:rsid w:val="00D01BD6"/>
    <w:rsid w:val="00D14558"/>
    <w:rsid w:val="00D30B9F"/>
    <w:rsid w:val="00D35AD8"/>
    <w:rsid w:val="00D411D3"/>
    <w:rsid w:val="00D679E2"/>
    <w:rsid w:val="00DD06F0"/>
    <w:rsid w:val="00DE1DCB"/>
    <w:rsid w:val="00E12C18"/>
    <w:rsid w:val="00E72EA4"/>
    <w:rsid w:val="00EF4610"/>
    <w:rsid w:val="00F52C0A"/>
    <w:rsid w:val="00F747ED"/>
    <w:rsid w:val="00F80973"/>
    <w:rsid w:val="00F93DE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B7981"/>
  <w15:docId w15:val="{200CF4B6-1CAC-455D-8A55-9479F163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6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E4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E464D"/>
    <w:pPr>
      <w:ind w:left="720"/>
      <w:contextualSpacing/>
    </w:pPr>
  </w:style>
  <w:style w:type="character" w:styleId="Lienhypertexte">
    <w:name w:val="Hyperlink"/>
    <w:basedOn w:val="Policepardfaut"/>
    <w:uiPriority w:val="99"/>
    <w:unhideWhenUsed/>
    <w:rsid w:val="000D72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6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ais.carnet@u-bourgogn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1265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CHU-DIJON</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DUVILLARD Laurence</dc:creator>
  <cp:lastModifiedBy>Amandine Chirade</cp:lastModifiedBy>
  <cp:revision>2</cp:revision>
  <cp:lastPrinted>2019-05-23T07:40:00Z</cp:lastPrinted>
  <dcterms:created xsi:type="dcterms:W3CDTF">2024-04-18T13:30:00Z</dcterms:created>
  <dcterms:modified xsi:type="dcterms:W3CDTF">2024-04-18T13:30:00Z</dcterms:modified>
</cp:coreProperties>
</file>